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pt-PT"/>
        </w:rPr>
        <w:t>Formato para Monitoreo de Mapas de Riesgos de Corrupci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n</w:t>
      </w: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082"/>
        <w:gridCol w:w="2082"/>
        <w:gridCol w:w="2081"/>
        <w:gridCol w:w="2082"/>
        <w:gridCol w:w="2082"/>
        <w:gridCol w:w="2082"/>
      </w:tblGrid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572"/>
            <w:gridSpan w:val="7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nil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Formato para Monitoreo de Mapas de Riesgos de Corrupci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Proceso/Objetivo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Riesgo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Tipo de Riesgo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Control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pt-PT"/>
              </w:rPr>
              <w:t>Indicador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Cambios en el entorno</w:t>
            </w:r>
          </w:p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Lecci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